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6DE" w:rsidRPr="00426BB0" w:rsidRDefault="00F326DE" w:rsidP="00C909C2">
      <w:pPr>
        <w:spacing w:line="280" w:lineRule="exact"/>
        <w:jc w:val="center"/>
        <w:rPr>
          <w:sz w:val="32"/>
          <w:szCs w:val="32"/>
        </w:rPr>
      </w:pPr>
      <w:bookmarkStart w:id="0" w:name="_GoBack"/>
      <w:bookmarkEnd w:id="0"/>
      <w:r w:rsidRPr="00426BB0">
        <w:rPr>
          <w:b/>
          <w:sz w:val="32"/>
          <w:szCs w:val="32"/>
        </w:rPr>
        <w:t>Бизнес без коррупции</w:t>
      </w:r>
    </w:p>
    <w:p w:rsidR="00F326DE" w:rsidRPr="00426BB0" w:rsidRDefault="00F326DE" w:rsidP="00C909C2">
      <w:pPr>
        <w:ind w:firstLine="709"/>
        <w:jc w:val="both"/>
        <w:rPr>
          <w:sz w:val="22"/>
          <w:szCs w:val="36"/>
        </w:rPr>
      </w:pPr>
    </w:p>
    <w:p w:rsidR="00F326DE" w:rsidRPr="00C909C2" w:rsidRDefault="00F326DE" w:rsidP="00C909C2">
      <w:pPr>
        <w:ind w:firstLine="709"/>
        <w:jc w:val="both"/>
        <w:rPr>
          <w:sz w:val="32"/>
          <w:szCs w:val="32"/>
          <w:lang w:eastAsia="en-US"/>
        </w:rPr>
      </w:pPr>
      <w:r w:rsidRPr="00C909C2">
        <w:rPr>
          <w:sz w:val="32"/>
          <w:szCs w:val="32"/>
          <w:lang w:eastAsia="en-US"/>
        </w:rPr>
        <w:t xml:space="preserve">Стабильное развитие экономики является лейтмотивом поручений Президента страны, целевых программ и национальных проектов, не сходит с повестки дня международных и федеральных экономических форумов, различных дискуссионных площадок. </w:t>
      </w:r>
    </w:p>
    <w:p w:rsidR="00F326DE" w:rsidRPr="00C909C2" w:rsidRDefault="00F326DE" w:rsidP="00C909C2">
      <w:pPr>
        <w:ind w:firstLine="709"/>
        <w:jc w:val="both"/>
        <w:rPr>
          <w:sz w:val="32"/>
          <w:szCs w:val="32"/>
          <w:lang w:eastAsia="en-US"/>
        </w:rPr>
      </w:pPr>
      <w:r w:rsidRPr="00C909C2">
        <w:rPr>
          <w:sz w:val="32"/>
          <w:szCs w:val="32"/>
          <w:lang w:eastAsia="en-US"/>
        </w:rPr>
        <w:t>Очевидно, что устойчивое развитие экономики немыслимо без обеспечения государством гарантированной свободы экономической деятельности. В этой связи первостепенной задачей органов прокуратуры является минимизация коррупционных проявлений в бизнес среде.</w:t>
      </w:r>
    </w:p>
    <w:p w:rsidR="00F326DE" w:rsidRPr="00C909C2" w:rsidRDefault="00F326DE" w:rsidP="00C909C2">
      <w:pPr>
        <w:ind w:firstLine="709"/>
        <w:jc w:val="both"/>
        <w:rPr>
          <w:sz w:val="32"/>
          <w:szCs w:val="32"/>
          <w:lang w:eastAsia="en-US"/>
        </w:rPr>
      </w:pPr>
      <w:r w:rsidRPr="00C909C2">
        <w:rPr>
          <w:sz w:val="32"/>
          <w:szCs w:val="32"/>
          <w:lang w:eastAsia="en-US"/>
        </w:rPr>
        <w:t>Наша работа в этой сфере разноплановая: от проведения антикоррупционной экспертизы нормативных правовых актов в целях исключения возможных предпосылок коррупции до уголовного преследования должностных лиц, которые в корыстных интересах создают административные барьеры для предпринимателей и вымогают у них взятки.</w:t>
      </w:r>
    </w:p>
    <w:p w:rsidR="00F326DE" w:rsidRPr="00C909C2" w:rsidRDefault="00F326DE" w:rsidP="00C909C2">
      <w:pPr>
        <w:ind w:firstLine="709"/>
        <w:jc w:val="both"/>
        <w:rPr>
          <w:sz w:val="32"/>
          <w:szCs w:val="32"/>
          <w:lang w:eastAsia="en-US"/>
        </w:rPr>
      </w:pPr>
      <w:r w:rsidRPr="00C909C2">
        <w:rPr>
          <w:sz w:val="32"/>
          <w:szCs w:val="32"/>
          <w:lang w:eastAsia="en-US"/>
        </w:rPr>
        <w:t>Традиционно особое внимание уделяется законности распоряжения бюджетными средствами, выделенными в рамках реализации государственных целевых программ, обеспечению законности в сфере госзакупок, противодействию «откатам», правовому просвещению представителей бизнеса и должностных лиц контролирующих органов.</w:t>
      </w:r>
    </w:p>
    <w:p w:rsidR="00F326DE" w:rsidRPr="00C909C2" w:rsidRDefault="00F326DE" w:rsidP="00C909C2">
      <w:pPr>
        <w:ind w:firstLine="709"/>
        <w:jc w:val="both"/>
        <w:rPr>
          <w:sz w:val="32"/>
          <w:szCs w:val="32"/>
          <w:lang w:eastAsia="en-US"/>
        </w:rPr>
      </w:pPr>
      <w:r w:rsidRPr="00C909C2">
        <w:rPr>
          <w:sz w:val="32"/>
          <w:szCs w:val="32"/>
          <w:lang w:eastAsia="en-US"/>
        </w:rPr>
        <w:t>Остановлюсь только на некоторых наиболее актуальных направлениях.</w:t>
      </w:r>
    </w:p>
    <w:p w:rsidR="00F326DE" w:rsidRPr="00C909C2" w:rsidRDefault="00F326DE" w:rsidP="00C909C2">
      <w:pPr>
        <w:jc w:val="center"/>
        <w:rPr>
          <w:b/>
          <w:sz w:val="32"/>
          <w:szCs w:val="32"/>
          <w:lang w:eastAsia="en-US"/>
        </w:rPr>
      </w:pPr>
      <w:r w:rsidRPr="00C909C2">
        <w:rPr>
          <w:b/>
          <w:sz w:val="32"/>
          <w:szCs w:val="32"/>
          <w:lang w:eastAsia="en-US"/>
        </w:rPr>
        <w:t>***</w:t>
      </w:r>
    </w:p>
    <w:p w:rsidR="00F326DE" w:rsidRDefault="00F326DE" w:rsidP="00C909C2">
      <w:pPr>
        <w:ind w:firstLine="709"/>
        <w:jc w:val="both"/>
        <w:rPr>
          <w:sz w:val="32"/>
          <w:szCs w:val="32"/>
          <w:lang w:eastAsia="en-US"/>
        </w:rPr>
      </w:pPr>
    </w:p>
    <w:p w:rsidR="00F326DE" w:rsidRPr="00C909C2" w:rsidRDefault="00F326DE" w:rsidP="00C909C2">
      <w:pPr>
        <w:ind w:firstLine="709"/>
        <w:jc w:val="both"/>
        <w:rPr>
          <w:sz w:val="32"/>
          <w:szCs w:val="32"/>
        </w:rPr>
      </w:pPr>
      <w:r w:rsidRPr="00C909C2">
        <w:rPr>
          <w:sz w:val="32"/>
          <w:szCs w:val="32"/>
          <w:lang w:eastAsia="en-US"/>
        </w:rPr>
        <w:t xml:space="preserve">При проведении </w:t>
      </w:r>
      <w:r w:rsidRPr="00C909C2">
        <w:rPr>
          <w:b/>
          <w:sz w:val="32"/>
          <w:szCs w:val="32"/>
        </w:rPr>
        <w:t>антикоррупционной экспертизы нормативных правовых актов</w:t>
      </w:r>
      <w:r w:rsidRPr="00C909C2">
        <w:rPr>
          <w:sz w:val="32"/>
          <w:szCs w:val="32"/>
        </w:rPr>
        <w:t xml:space="preserve"> особое внимание уделяется наличию в них положений, создающих административные барьеры для субъектов предпринимательской деятельности, а также соблюдению требований законодательства при разработке, утверждении и реализации инвестиционных проектов, осуществлении контроля в данной сфере.</w:t>
      </w:r>
    </w:p>
    <w:p w:rsidR="00F326DE" w:rsidRPr="00C909C2" w:rsidRDefault="00F326DE" w:rsidP="00C909C2">
      <w:pPr>
        <w:ind w:firstLine="709"/>
        <w:jc w:val="both"/>
        <w:rPr>
          <w:sz w:val="32"/>
          <w:szCs w:val="32"/>
        </w:rPr>
      </w:pPr>
      <w:r w:rsidRPr="00C909C2">
        <w:rPr>
          <w:sz w:val="32"/>
          <w:szCs w:val="32"/>
        </w:rPr>
        <w:t xml:space="preserve">Например, </w:t>
      </w:r>
      <w:r w:rsidRPr="00C909C2">
        <w:rPr>
          <w:sz w:val="32"/>
          <w:szCs w:val="32"/>
          <w:u w:val="single"/>
        </w:rPr>
        <w:t>Генеральной прокуратурой</w:t>
      </w:r>
      <w:r w:rsidRPr="00C909C2">
        <w:rPr>
          <w:sz w:val="32"/>
          <w:szCs w:val="32"/>
        </w:rPr>
        <w:t xml:space="preserve"> коррупциогенные факторы выявлены в административном регламенте Федерального агентства водных ресурсов по предоставлению водных объектов в пользование.  В документе отсутствовал предельный срок, в течение которого Федеральному агентству или региональным органам власти следовало провести аукцион по приобретению права на заключение договора водопользования, что предоставляло правоприменителям необоснованно широкие полномочия. Предприниматели вынуждены были годами ждать проведения таких аукционов, что серьёзно нарушало их права.  По нашему требованию в административный регламент внесены необходимые изменения.</w:t>
      </w:r>
    </w:p>
    <w:p w:rsidR="00F326DE" w:rsidRPr="00C909C2" w:rsidRDefault="00F326DE" w:rsidP="00C909C2">
      <w:pPr>
        <w:ind w:firstLine="709"/>
        <w:jc w:val="both"/>
        <w:rPr>
          <w:sz w:val="32"/>
          <w:szCs w:val="32"/>
        </w:rPr>
      </w:pPr>
      <w:r w:rsidRPr="00C909C2">
        <w:rPr>
          <w:sz w:val="32"/>
          <w:szCs w:val="32"/>
          <w:u w:val="single"/>
        </w:rPr>
        <w:t>В Архангельске</w:t>
      </w:r>
      <w:r w:rsidRPr="00C909C2">
        <w:rPr>
          <w:sz w:val="32"/>
          <w:szCs w:val="32"/>
        </w:rPr>
        <w:t xml:space="preserve"> по требованию прокурора административный регламент сопровождения инвестиционных проектов был дополнен указанием на сроки рассмотрения заявки и критерии оценки инвестиционного проекта. Отсутствие таких положений создавало коррупциогенные факторы, поскольку предоставляло должностным лицам необоснованно широкое усмотрение, позволяло им произвольно принимать решения по поступившим для рассмотрения инвестиционным проектам.</w:t>
      </w:r>
    </w:p>
    <w:p w:rsidR="00F326DE" w:rsidRPr="00C909C2" w:rsidRDefault="00F326DE" w:rsidP="00C909C2">
      <w:pPr>
        <w:ind w:firstLine="709"/>
        <w:jc w:val="both"/>
        <w:rPr>
          <w:sz w:val="32"/>
          <w:szCs w:val="32"/>
        </w:rPr>
      </w:pPr>
      <w:r w:rsidRPr="00C909C2">
        <w:rPr>
          <w:sz w:val="32"/>
          <w:szCs w:val="32"/>
          <w:u w:val="single"/>
        </w:rPr>
        <w:t>В Тюменской области</w:t>
      </w:r>
      <w:r w:rsidRPr="00C909C2">
        <w:rPr>
          <w:sz w:val="32"/>
          <w:szCs w:val="32"/>
        </w:rPr>
        <w:t xml:space="preserve"> региональная программа по развитию малого и среднего предпринимательства и научно-инновационной сферы после вмешательства прокуратуры была дополнена конкретными условиями определения ставок арендной платы за переданное государственное имущество субъектам малого и среднего предпринимательства.</w:t>
      </w:r>
    </w:p>
    <w:p w:rsidR="00F326DE" w:rsidRPr="00C909C2" w:rsidRDefault="00F326DE" w:rsidP="00C909C2">
      <w:pPr>
        <w:ind w:firstLine="709"/>
        <w:jc w:val="both"/>
        <w:rPr>
          <w:sz w:val="32"/>
          <w:szCs w:val="32"/>
        </w:rPr>
      </w:pPr>
      <w:r w:rsidRPr="00C909C2">
        <w:rPr>
          <w:sz w:val="32"/>
          <w:szCs w:val="32"/>
          <w:u w:val="single"/>
        </w:rPr>
        <w:t>В Бурятии</w:t>
      </w:r>
      <w:r w:rsidRPr="00C909C2">
        <w:rPr>
          <w:sz w:val="32"/>
          <w:szCs w:val="32"/>
        </w:rPr>
        <w:t xml:space="preserve"> утверждённое постановлением правительства республики Положение о формировании реестра инвестиционных площадок не содержало порядка рассмотрения документов, представленных инициатором создания площадки, оснований, условий и критериев принятия решения о целесообразности включения инвестиционной площадки в реестр, сроков уведомления заявителя о принятом решении. Оно также необоснованно возлагало на физические и юридические лица обязанность по обеспечению рассмотрения вопроса о включении инвестиционной площадки в реестр на заседании уполномоченного органа. После вмешательства прокуратуры республики коррупциогенные факторы, выразившиеся в широте дискреционных полномочий, неполноте административных процедур, наличии завышенных требований к лицу, предъявляемых для реализации принадлежащего ему права, устранены.</w:t>
      </w:r>
    </w:p>
    <w:p w:rsidR="00F326DE" w:rsidRPr="00C909C2" w:rsidRDefault="00F326DE" w:rsidP="00C909C2">
      <w:pPr>
        <w:ind w:firstLine="709"/>
        <w:jc w:val="both"/>
        <w:rPr>
          <w:sz w:val="32"/>
          <w:szCs w:val="32"/>
        </w:rPr>
      </w:pPr>
      <w:r w:rsidRPr="00C909C2">
        <w:rPr>
          <w:sz w:val="32"/>
          <w:szCs w:val="32"/>
        </w:rPr>
        <w:t xml:space="preserve">В целях повышения оперативности выявления и эффективности устранения коррупциогенных факторов нормативных правовых актов, в том числе регулирующих отношения в сфере частного сектора, прокурорами к данной работе привлекаются независимые эксперты, крупные научные и образовательные центры страны. </w:t>
      </w:r>
      <w:r w:rsidRPr="00C909C2">
        <w:rPr>
          <w:sz w:val="32"/>
          <w:szCs w:val="32"/>
          <w:u w:val="single"/>
        </w:rPr>
        <w:t>Взаимодействие осуществляется и с профессиональными участниками бизнеса</w:t>
      </w:r>
      <w:r w:rsidRPr="00C909C2">
        <w:rPr>
          <w:sz w:val="32"/>
          <w:szCs w:val="32"/>
        </w:rPr>
        <w:t xml:space="preserve"> – отраслевыми союзами, ассоциациями, знающими «тонкие» места действующего законодательства.</w:t>
      </w:r>
    </w:p>
    <w:p w:rsidR="00F326DE" w:rsidRPr="00C909C2" w:rsidRDefault="00F326DE" w:rsidP="00C909C2">
      <w:pPr>
        <w:ind w:firstLine="709"/>
        <w:jc w:val="both"/>
        <w:rPr>
          <w:sz w:val="32"/>
          <w:szCs w:val="32"/>
        </w:rPr>
      </w:pPr>
      <w:r w:rsidRPr="00C909C2">
        <w:rPr>
          <w:sz w:val="32"/>
          <w:szCs w:val="32"/>
        </w:rPr>
        <w:t xml:space="preserve">Так, </w:t>
      </w:r>
      <w:r w:rsidRPr="00C909C2">
        <w:rPr>
          <w:sz w:val="32"/>
          <w:szCs w:val="32"/>
          <w:u w:val="single"/>
        </w:rPr>
        <w:t>РСПП</w:t>
      </w:r>
      <w:r w:rsidRPr="00C909C2">
        <w:rPr>
          <w:sz w:val="32"/>
          <w:szCs w:val="32"/>
        </w:rPr>
        <w:t xml:space="preserve"> на основании Соглашения о взаимодействии с Генеральной прокуратурой оказывает нам содействие в проведении антикоррупционной экспертизы, информируя нас о коррупционных факторах, выявленных предпринимателями в нормативных правовых актах.</w:t>
      </w:r>
    </w:p>
    <w:p w:rsidR="00F326DE" w:rsidRPr="00C909C2" w:rsidRDefault="00F326DE" w:rsidP="00C909C2">
      <w:pPr>
        <w:jc w:val="center"/>
        <w:rPr>
          <w:b/>
          <w:sz w:val="32"/>
          <w:szCs w:val="32"/>
          <w:lang w:eastAsia="en-US"/>
        </w:rPr>
      </w:pPr>
      <w:r w:rsidRPr="00C909C2">
        <w:rPr>
          <w:b/>
          <w:sz w:val="32"/>
          <w:szCs w:val="32"/>
          <w:lang w:eastAsia="en-US"/>
        </w:rPr>
        <w:t>***</w:t>
      </w:r>
    </w:p>
    <w:p w:rsidR="00F326DE" w:rsidRPr="00C909C2" w:rsidRDefault="00F326DE" w:rsidP="00C909C2">
      <w:pPr>
        <w:ind w:firstLine="709"/>
        <w:jc w:val="both"/>
        <w:rPr>
          <w:sz w:val="32"/>
          <w:szCs w:val="32"/>
        </w:rPr>
      </w:pPr>
      <w:r w:rsidRPr="00C909C2">
        <w:rPr>
          <w:sz w:val="32"/>
          <w:szCs w:val="32"/>
        </w:rPr>
        <w:t xml:space="preserve">В целях обеспечения свободных и конкурентных экономических отношений </w:t>
      </w:r>
      <w:r w:rsidRPr="00C909C2">
        <w:rPr>
          <w:b/>
          <w:sz w:val="32"/>
          <w:szCs w:val="32"/>
        </w:rPr>
        <w:t>важно соблюдение антикоррупционного законодательства не только контролирующими органами, но и самими организациями</w:t>
      </w:r>
      <w:r w:rsidRPr="00C909C2">
        <w:rPr>
          <w:sz w:val="32"/>
          <w:szCs w:val="32"/>
        </w:rPr>
        <w:t>.</w:t>
      </w:r>
    </w:p>
    <w:p w:rsidR="00F326DE" w:rsidRPr="00C909C2" w:rsidRDefault="00F326DE" w:rsidP="00C909C2">
      <w:pPr>
        <w:pStyle w:val="ConsPlusNormal"/>
        <w:ind w:firstLine="709"/>
        <w:jc w:val="both"/>
        <w:rPr>
          <w:rFonts w:ascii="Times New Roman" w:hAnsi="Times New Roman" w:cs="Times New Roman"/>
          <w:sz w:val="32"/>
          <w:szCs w:val="32"/>
        </w:rPr>
      </w:pPr>
      <w:r w:rsidRPr="00C909C2">
        <w:rPr>
          <w:rFonts w:ascii="Times New Roman" w:hAnsi="Times New Roman" w:cs="Times New Roman"/>
          <w:sz w:val="32"/>
          <w:szCs w:val="32"/>
        </w:rPr>
        <w:t>Поэтому прокуроры уделяют внимание соблюдению организациями обязанности, установленной статьей 13.3 Закона                      «О противодействии коррупции», по разработке и принятию мер по предупреждению коррупции.</w:t>
      </w:r>
    </w:p>
    <w:p w:rsidR="00F326DE" w:rsidRPr="00C909C2" w:rsidRDefault="00F326DE" w:rsidP="00C909C2">
      <w:pPr>
        <w:pStyle w:val="ConsPlusNormal"/>
        <w:ind w:firstLine="709"/>
        <w:jc w:val="both"/>
        <w:rPr>
          <w:rFonts w:ascii="Times New Roman" w:hAnsi="Times New Roman" w:cs="Times New Roman"/>
          <w:sz w:val="32"/>
          <w:szCs w:val="32"/>
        </w:rPr>
      </w:pPr>
      <w:r w:rsidRPr="00C909C2">
        <w:rPr>
          <w:rFonts w:ascii="Times New Roman" w:hAnsi="Times New Roman" w:cs="Times New Roman"/>
          <w:sz w:val="32"/>
          <w:szCs w:val="32"/>
        </w:rPr>
        <w:t>Данная обязанность распространяется на все организации без исключения и вне зависимости от их организационно-правовых форм и отраслевой принадлежности.</w:t>
      </w:r>
    </w:p>
    <w:p w:rsidR="00F326DE" w:rsidRPr="00C909C2" w:rsidRDefault="00F326DE" w:rsidP="00C909C2">
      <w:pPr>
        <w:pStyle w:val="ConsPlusNormal"/>
        <w:ind w:firstLine="709"/>
        <w:jc w:val="both"/>
        <w:rPr>
          <w:rFonts w:ascii="Times New Roman" w:hAnsi="Times New Roman" w:cs="Times New Roman"/>
          <w:sz w:val="32"/>
          <w:szCs w:val="32"/>
        </w:rPr>
      </w:pPr>
      <w:r w:rsidRPr="00C909C2">
        <w:rPr>
          <w:rFonts w:ascii="Times New Roman" w:hAnsi="Times New Roman" w:cs="Times New Roman"/>
          <w:sz w:val="32"/>
          <w:szCs w:val="32"/>
        </w:rPr>
        <w:t>В то же время законодательство сконструировано таким образом, что организации сами определяют для себя необходимый комплекс антикоррупционных мер с учетом оценки коррупционных рисков и рекомендаций Минтруда России.</w:t>
      </w:r>
    </w:p>
    <w:p w:rsidR="00F326DE" w:rsidRPr="00C909C2" w:rsidRDefault="00F326DE" w:rsidP="00C909C2">
      <w:pPr>
        <w:pStyle w:val="ConsPlusNormal"/>
        <w:widowControl/>
        <w:ind w:firstLine="709"/>
        <w:jc w:val="both"/>
        <w:rPr>
          <w:rFonts w:ascii="Times New Roman" w:hAnsi="Times New Roman" w:cs="Times New Roman"/>
          <w:sz w:val="32"/>
          <w:szCs w:val="32"/>
        </w:rPr>
      </w:pPr>
      <w:r w:rsidRPr="00C909C2">
        <w:rPr>
          <w:rFonts w:ascii="Times New Roman" w:hAnsi="Times New Roman" w:cs="Times New Roman"/>
          <w:sz w:val="32"/>
          <w:szCs w:val="32"/>
        </w:rPr>
        <w:t>Соблюдение антикоррупционных мер приобретает особую актуальность, если организация распоряжается бюджетными средствами, осуществляет деятельность в сферах, наиболее подверженных коррупционным рискам и имеющих повышенное социальное значение.</w:t>
      </w:r>
    </w:p>
    <w:p w:rsidR="00F326DE" w:rsidRPr="00C909C2" w:rsidRDefault="00F326DE" w:rsidP="00C909C2">
      <w:pPr>
        <w:pStyle w:val="ConsPlusNormal"/>
        <w:widowControl/>
        <w:ind w:firstLine="709"/>
        <w:jc w:val="both"/>
        <w:rPr>
          <w:rFonts w:ascii="Times New Roman" w:hAnsi="Times New Roman" w:cs="Times New Roman"/>
          <w:sz w:val="32"/>
          <w:szCs w:val="32"/>
        </w:rPr>
      </w:pPr>
      <w:r w:rsidRPr="00C909C2">
        <w:rPr>
          <w:rFonts w:ascii="Times New Roman" w:hAnsi="Times New Roman" w:cs="Times New Roman"/>
          <w:sz w:val="32"/>
          <w:szCs w:val="32"/>
        </w:rPr>
        <w:t>Так, на основе Комплексного плана мероприятий по противодействию коррупции Генеральная прокуратура Российской Федерации системно проводит проверки соблюдения антикоррупционного законодательства в  организациях, создаваемых для выполнения задач, поставленных перед федеральными государственными органами. Только в первом полугодии 2019 г. по результатам этих проверок выявлено более тысячи нарушений закона.</w:t>
      </w:r>
    </w:p>
    <w:p w:rsidR="00F326DE" w:rsidRPr="00C909C2" w:rsidRDefault="00F326DE" w:rsidP="00C909C2">
      <w:pPr>
        <w:jc w:val="center"/>
        <w:rPr>
          <w:b/>
          <w:sz w:val="32"/>
          <w:szCs w:val="32"/>
          <w:lang w:eastAsia="en-US"/>
        </w:rPr>
      </w:pPr>
      <w:r w:rsidRPr="00C909C2">
        <w:rPr>
          <w:b/>
          <w:sz w:val="32"/>
          <w:szCs w:val="32"/>
          <w:lang w:eastAsia="en-US"/>
        </w:rPr>
        <w:t>***</w:t>
      </w:r>
    </w:p>
    <w:p w:rsidR="00F326DE" w:rsidRDefault="00F326DE" w:rsidP="000510C6">
      <w:pPr>
        <w:ind w:firstLine="709"/>
        <w:jc w:val="both"/>
        <w:rPr>
          <w:sz w:val="32"/>
          <w:szCs w:val="32"/>
        </w:rPr>
      </w:pPr>
    </w:p>
    <w:p w:rsidR="00F326DE" w:rsidRPr="00C909C2" w:rsidRDefault="00F326DE" w:rsidP="00C909C2">
      <w:pPr>
        <w:pStyle w:val="ConsPlusNormal"/>
        <w:widowControl/>
        <w:ind w:firstLine="709"/>
        <w:jc w:val="both"/>
        <w:rPr>
          <w:rFonts w:ascii="Times New Roman" w:hAnsi="Times New Roman" w:cs="Times New Roman"/>
          <w:sz w:val="32"/>
          <w:szCs w:val="32"/>
        </w:rPr>
      </w:pPr>
      <w:r w:rsidRPr="00C909C2">
        <w:rPr>
          <w:rFonts w:ascii="Times New Roman" w:hAnsi="Times New Roman" w:cs="Times New Roman"/>
          <w:sz w:val="32"/>
          <w:szCs w:val="32"/>
        </w:rPr>
        <w:t xml:space="preserve">Актуальным для бизнеса является соблюдение требований            </w:t>
      </w:r>
      <w:r w:rsidRPr="00C909C2">
        <w:rPr>
          <w:rFonts w:ascii="Times New Roman" w:hAnsi="Times New Roman" w:cs="Times New Roman"/>
          <w:b/>
          <w:sz w:val="32"/>
          <w:szCs w:val="32"/>
        </w:rPr>
        <w:t>статьи 12 Федерального закона «О противодействии коррупции»</w:t>
      </w:r>
      <w:r w:rsidRPr="00C909C2">
        <w:rPr>
          <w:rFonts w:ascii="Times New Roman" w:hAnsi="Times New Roman" w:cs="Times New Roman"/>
          <w:sz w:val="32"/>
          <w:szCs w:val="32"/>
        </w:rPr>
        <w:t>, регулирующей переход государственных и муниципальных служащих на работу в частный сектор.</w:t>
      </w:r>
    </w:p>
    <w:p w:rsidR="00F326DE" w:rsidRPr="00C909C2" w:rsidRDefault="00F326DE" w:rsidP="00C909C2">
      <w:pPr>
        <w:pStyle w:val="ConsPlusNormal"/>
        <w:widowControl/>
        <w:ind w:firstLine="709"/>
        <w:jc w:val="both"/>
        <w:rPr>
          <w:rFonts w:ascii="Times New Roman" w:hAnsi="Times New Roman" w:cs="Times New Roman"/>
          <w:sz w:val="32"/>
          <w:szCs w:val="32"/>
        </w:rPr>
      </w:pPr>
      <w:r w:rsidRPr="00C909C2">
        <w:rPr>
          <w:rFonts w:ascii="Times New Roman" w:hAnsi="Times New Roman" w:cs="Times New Roman"/>
          <w:sz w:val="32"/>
          <w:szCs w:val="32"/>
        </w:rPr>
        <w:t xml:space="preserve">Согласно этой статье </w:t>
      </w:r>
      <w:r w:rsidRPr="00C909C2">
        <w:rPr>
          <w:rFonts w:ascii="Times New Roman" w:hAnsi="Times New Roman"/>
          <w:sz w:val="32"/>
          <w:szCs w:val="32"/>
        </w:rPr>
        <w:t xml:space="preserve">гражданин, уволившийся с государственной и муниципальной службы, в течение двух лет после увольнения может быть принят на работу в организацию только после получения согласия миссии по урегулированию конфликта интересов, если ранее выполняемые им функции были связаны с управлением этой организацией. </w:t>
      </w:r>
    </w:p>
    <w:p w:rsidR="00F326DE" w:rsidRPr="00C909C2" w:rsidRDefault="00F326DE" w:rsidP="00C909C2">
      <w:pPr>
        <w:ind w:firstLine="709"/>
        <w:jc w:val="both"/>
        <w:rPr>
          <w:sz w:val="32"/>
          <w:szCs w:val="32"/>
        </w:rPr>
      </w:pPr>
      <w:r w:rsidRPr="00C909C2">
        <w:rPr>
          <w:sz w:val="32"/>
          <w:szCs w:val="32"/>
        </w:rPr>
        <w:t>Это касается выполнения работ как по трудовому договору, так и по гражданско-правовому договору, но в последнем случае стоимость услуг должна превышать 100 тыс. рублей в месяц.</w:t>
      </w:r>
    </w:p>
    <w:p w:rsidR="00F326DE" w:rsidRPr="00C909C2" w:rsidRDefault="00F326DE" w:rsidP="00C909C2">
      <w:pPr>
        <w:ind w:firstLine="709"/>
        <w:jc w:val="both"/>
        <w:rPr>
          <w:sz w:val="32"/>
          <w:szCs w:val="32"/>
        </w:rPr>
      </w:pPr>
      <w:r w:rsidRPr="00C909C2">
        <w:rPr>
          <w:sz w:val="32"/>
          <w:szCs w:val="32"/>
        </w:rPr>
        <w:t>При этом новый работодатель при заключении трудового или гражданско-правового договора с таким гражданином обязан                      в 10-дневный срок сообщить о его заключении в государственный или муниципальный орган, в котором данное лицо проходило службу.</w:t>
      </w:r>
    </w:p>
    <w:p w:rsidR="00F326DE" w:rsidRPr="00C909C2" w:rsidRDefault="00F326DE" w:rsidP="00C909C2">
      <w:pPr>
        <w:ind w:firstLine="709"/>
        <w:jc w:val="both"/>
        <w:rPr>
          <w:sz w:val="32"/>
          <w:szCs w:val="32"/>
        </w:rPr>
      </w:pPr>
      <w:r w:rsidRPr="00C909C2">
        <w:rPr>
          <w:sz w:val="32"/>
          <w:szCs w:val="32"/>
        </w:rPr>
        <w:t>Наши проверки показывают, что требования этой статьи исполняются организациями далеко не во всех случаях.</w:t>
      </w:r>
    </w:p>
    <w:p w:rsidR="00F326DE" w:rsidRPr="00C909C2" w:rsidRDefault="00F326DE" w:rsidP="00C909C2">
      <w:pPr>
        <w:ind w:firstLine="709"/>
        <w:jc w:val="both"/>
        <w:rPr>
          <w:sz w:val="32"/>
          <w:szCs w:val="32"/>
        </w:rPr>
      </w:pPr>
      <w:r w:rsidRPr="00C909C2">
        <w:rPr>
          <w:sz w:val="32"/>
          <w:szCs w:val="32"/>
        </w:rPr>
        <w:t xml:space="preserve">Неуведомление организацией государственного или муниципального органа о заключении договора с его бывшим работником или нарушение установленного 10-дневного срока уведомления влечет административную ответственность по статье 19.29 КоАП РФ. </w:t>
      </w:r>
    </w:p>
    <w:p w:rsidR="00F326DE" w:rsidRPr="00C909C2" w:rsidRDefault="00F326DE" w:rsidP="00C909C2">
      <w:pPr>
        <w:pStyle w:val="ConsPlusNormal"/>
        <w:widowControl/>
        <w:ind w:firstLine="709"/>
        <w:jc w:val="both"/>
        <w:rPr>
          <w:rFonts w:ascii="Times New Roman" w:hAnsi="Times New Roman" w:cs="Times New Roman"/>
          <w:sz w:val="32"/>
          <w:szCs w:val="32"/>
        </w:rPr>
      </w:pPr>
      <w:r w:rsidRPr="00C909C2">
        <w:rPr>
          <w:rFonts w:ascii="Times New Roman" w:hAnsi="Times New Roman" w:cs="Times New Roman"/>
          <w:sz w:val="32"/>
          <w:szCs w:val="32"/>
        </w:rPr>
        <w:t>За два с половиной года по этой статье прокурорами возбуждено                 более 13 тыс. дел об административных правонарушениях.</w:t>
      </w:r>
    </w:p>
    <w:p w:rsidR="00F326DE" w:rsidRPr="00C909C2" w:rsidRDefault="00F326DE" w:rsidP="00C909C2">
      <w:pPr>
        <w:ind w:firstLine="709"/>
        <w:jc w:val="center"/>
        <w:rPr>
          <w:b/>
          <w:sz w:val="32"/>
          <w:szCs w:val="32"/>
          <w:lang w:eastAsia="en-US"/>
        </w:rPr>
      </w:pPr>
      <w:r w:rsidRPr="00C909C2">
        <w:rPr>
          <w:b/>
          <w:sz w:val="32"/>
          <w:szCs w:val="32"/>
          <w:lang w:eastAsia="en-US"/>
        </w:rPr>
        <w:t>***</w:t>
      </w:r>
    </w:p>
    <w:p w:rsidR="00F326DE" w:rsidRDefault="00F326DE" w:rsidP="000510C6">
      <w:pPr>
        <w:ind w:firstLine="709"/>
        <w:jc w:val="both"/>
        <w:rPr>
          <w:sz w:val="32"/>
          <w:szCs w:val="32"/>
        </w:rPr>
      </w:pPr>
    </w:p>
    <w:p w:rsidR="00F326DE" w:rsidRPr="00C909C2" w:rsidRDefault="00F326DE" w:rsidP="00C909C2">
      <w:pPr>
        <w:pStyle w:val="ConsPlusNormal"/>
        <w:widowControl/>
        <w:ind w:firstLine="709"/>
        <w:jc w:val="both"/>
        <w:rPr>
          <w:rFonts w:ascii="Times New Roman" w:hAnsi="Times New Roman" w:cs="Times New Roman"/>
          <w:sz w:val="32"/>
          <w:szCs w:val="32"/>
        </w:rPr>
      </w:pPr>
      <w:r w:rsidRPr="00C909C2">
        <w:rPr>
          <w:rFonts w:ascii="Times New Roman" w:hAnsi="Times New Roman" w:cs="Times New Roman"/>
          <w:sz w:val="32"/>
          <w:szCs w:val="32"/>
        </w:rPr>
        <w:t xml:space="preserve">Сохраняют актуальность и вопросы привлечения к административной ответственности организаций по </w:t>
      </w:r>
      <w:r w:rsidRPr="00C909C2">
        <w:rPr>
          <w:rFonts w:ascii="Times New Roman" w:hAnsi="Times New Roman" w:cs="Times New Roman"/>
          <w:b/>
          <w:sz w:val="32"/>
          <w:szCs w:val="32"/>
        </w:rPr>
        <w:t>статье 19.28  КоАП РФ</w:t>
      </w:r>
      <w:r w:rsidRPr="00C909C2">
        <w:rPr>
          <w:rFonts w:ascii="Times New Roman" w:hAnsi="Times New Roman" w:cs="Times New Roman"/>
          <w:sz w:val="32"/>
          <w:szCs w:val="32"/>
        </w:rPr>
        <w:t>.</w:t>
      </w:r>
    </w:p>
    <w:p w:rsidR="00F326DE" w:rsidRPr="00C909C2" w:rsidRDefault="00F326DE" w:rsidP="00C909C2">
      <w:pPr>
        <w:autoSpaceDE w:val="0"/>
        <w:autoSpaceDN w:val="0"/>
        <w:adjustRightInd w:val="0"/>
        <w:ind w:firstLine="709"/>
        <w:jc w:val="both"/>
        <w:rPr>
          <w:sz w:val="32"/>
          <w:szCs w:val="32"/>
        </w:rPr>
      </w:pPr>
      <w:r w:rsidRPr="00C909C2">
        <w:rPr>
          <w:sz w:val="32"/>
          <w:szCs w:val="32"/>
        </w:rPr>
        <w:t>Этой статьей установлена административная ответственность юридических лиц за незаконные передачу, предложение или обещание вознаграждения должностному лицу от имени или в интересах организации. Минимальный штраф составляет 1 миллион рублей, а  при незаконных передаче, предложении или обещании вознаграждения в особо крупном размере (более 20 млн. рублей) штраф не может быть менее 100 млн. рублей.</w:t>
      </w:r>
    </w:p>
    <w:p w:rsidR="00F326DE" w:rsidRPr="00C909C2" w:rsidRDefault="00F326DE" w:rsidP="00C909C2">
      <w:pPr>
        <w:autoSpaceDE w:val="0"/>
        <w:autoSpaceDN w:val="0"/>
        <w:adjustRightInd w:val="0"/>
        <w:ind w:firstLine="709"/>
        <w:jc w:val="both"/>
        <w:rPr>
          <w:sz w:val="32"/>
          <w:szCs w:val="32"/>
        </w:rPr>
      </w:pPr>
      <w:r w:rsidRPr="00C909C2">
        <w:rPr>
          <w:sz w:val="32"/>
          <w:szCs w:val="32"/>
        </w:rPr>
        <w:t>За два с половиной года судами к этому виду административной ответственности привлечено свыше 1 тыс. юридических лиц, которым назначены наказания в виде административных штрафов на общую сумму 2 млрд. рублей.</w:t>
      </w:r>
    </w:p>
    <w:p w:rsidR="00F326DE" w:rsidRPr="00C909C2" w:rsidRDefault="00F326DE" w:rsidP="00C909C2">
      <w:pPr>
        <w:autoSpaceDE w:val="0"/>
        <w:autoSpaceDN w:val="0"/>
        <w:adjustRightInd w:val="0"/>
        <w:ind w:firstLine="709"/>
        <w:jc w:val="both"/>
        <w:rPr>
          <w:sz w:val="32"/>
          <w:szCs w:val="32"/>
        </w:rPr>
      </w:pPr>
      <w:r w:rsidRPr="00C909C2">
        <w:rPr>
          <w:sz w:val="32"/>
          <w:szCs w:val="32"/>
        </w:rPr>
        <w:t xml:space="preserve"> Например, по инициативе Генеральной прокуратуры в текущем году к административной ответственности по части 2 статьи 19.28  КоАП РФ (незаконное вознаграждение от имени юридического лица в крупном размере) привлечена авиакомпания «АЙ ФЛАЙ», генеральный директор которой в интересах данной организации передавал заместителю начальника Управления регулирования перевозок Росавиации взятки на общую сумму более 2 млн. руб. за организацию выдачи авиакомпании разрешений на разовые полеты гражданских воздушных судов в порядке международных чартерных сезонных рейсов. </w:t>
      </w:r>
    </w:p>
    <w:p w:rsidR="00F326DE" w:rsidRPr="00C909C2" w:rsidRDefault="00F326DE" w:rsidP="00C909C2">
      <w:pPr>
        <w:ind w:firstLine="709"/>
        <w:jc w:val="both"/>
        <w:rPr>
          <w:sz w:val="32"/>
          <w:szCs w:val="32"/>
        </w:rPr>
      </w:pPr>
      <w:r w:rsidRPr="00C909C2">
        <w:rPr>
          <w:sz w:val="32"/>
          <w:szCs w:val="32"/>
        </w:rPr>
        <w:t xml:space="preserve">Постановлением мирового судьи этому юридическому лицу назначено наказание в виде штрафа в размере 21 млн. 600 тыс. руб., что в десять раз превышает сумму незаконно переданного денежного вознаграждения. </w:t>
      </w:r>
      <w:r w:rsidRPr="00285E1A">
        <w:rPr>
          <w:sz w:val="32"/>
          <w:szCs w:val="32"/>
        </w:rPr>
        <w:t>На этой неделе штраф оплачен в полном объеме</w:t>
      </w:r>
      <w:r w:rsidRPr="00C909C2">
        <w:rPr>
          <w:sz w:val="32"/>
          <w:szCs w:val="32"/>
        </w:rPr>
        <w:t>.</w:t>
      </w:r>
    </w:p>
    <w:p w:rsidR="00F326DE" w:rsidRPr="00C909C2" w:rsidRDefault="00F326DE" w:rsidP="00C909C2">
      <w:pPr>
        <w:ind w:firstLine="709"/>
        <w:jc w:val="both"/>
        <w:rPr>
          <w:sz w:val="32"/>
          <w:szCs w:val="32"/>
        </w:rPr>
      </w:pPr>
      <w:r w:rsidRPr="00C909C2">
        <w:rPr>
          <w:sz w:val="32"/>
          <w:szCs w:val="32"/>
        </w:rPr>
        <w:t xml:space="preserve">Кроме того, директор ООО «АЙ ФЛАЙ» привлечен к уголовной ответственности за дачу взятки должностному лицу в особо крупном размере. Ему назначено наказание в виде </w:t>
      </w:r>
      <w:r>
        <w:rPr>
          <w:sz w:val="32"/>
          <w:szCs w:val="32"/>
        </w:rPr>
        <w:t>3,5 лет лишения свободы условно</w:t>
      </w:r>
      <w:r w:rsidRPr="00C909C2">
        <w:rPr>
          <w:sz w:val="32"/>
          <w:szCs w:val="32"/>
        </w:rPr>
        <w:t xml:space="preserve"> со штрафом в размере 6,5 млн. рублей.</w:t>
      </w:r>
    </w:p>
    <w:p w:rsidR="00F326DE" w:rsidRPr="00C909C2" w:rsidRDefault="00F326DE" w:rsidP="00C909C2">
      <w:pPr>
        <w:ind w:firstLine="709"/>
        <w:jc w:val="both"/>
        <w:rPr>
          <w:sz w:val="32"/>
          <w:szCs w:val="32"/>
        </w:rPr>
      </w:pPr>
      <w:r w:rsidRPr="00C909C2">
        <w:rPr>
          <w:sz w:val="32"/>
          <w:szCs w:val="32"/>
        </w:rPr>
        <w:t xml:space="preserve">В другом случае в Краснодарском крае к административной ответственности по части 2 статьи 19.28  КоАП РФ привлечён банк «Русский Стандарт», представитель которого предложил судебному приставу-исполнителю взятку в размере 5 % от суммы арестованных средств за осуществление действий по принудительному взысканию с должников денежных средств в пользу банка. </w:t>
      </w:r>
      <w:r>
        <w:rPr>
          <w:sz w:val="32"/>
          <w:szCs w:val="32"/>
        </w:rPr>
        <w:t>Юридическому лицу</w:t>
      </w:r>
      <w:r w:rsidRPr="00C909C2">
        <w:rPr>
          <w:sz w:val="32"/>
          <w:szCs w:val="32"/>
        </w:rPr>
        <w:t xml:space="preserve"> назначен штраф</w:t>
      </w:r>
      <w:r>
        <w:rPr>
          <w:sz w:val="32"/>
          <w:szCs w:val="32"/>
        </w:rPr>
        <w:t xml:space="preserve"> </w:t>
      </w:r>
      <w:r w:rsidRPr="00C909C2">
        <w:rPr>
          <w:sz w:val="32"/>
          <w:szCs w:val="32"/>
        </w:rPr>
        <w:t>в размере более 26 млн. рублей, который оплачен в полном объеме.</w:t>
      </w:r>
    </w:p>
    <w:p w:rsidR="00F326DE" w:rsidRPr="00C909C2" w:rsidRDefault="00F326DE" w:rsidP="00C909C2">
      <w:pPr>
        <w:ind w:firstLine="709"/>
        <w:jc w:val="both"/>
        <w:rPr>
          <w:sz w:val="32"/>
          <w:szCs w:val="32"/>
        </w:rPr>
      </w:pPr>
      <w:r w:rsidRPr="00C909C2">
        <w:rPr>
          <w:sz w:val="32"/>
          <w:szCs w:val="32"/>
        </w:rPr>
        <w:t xml:space="preserve">Интересно, что в данном случае дело об административном правонарушении было возбуждено не на </w:t>
      </w:r>
      <w:r>
        <w:rPr>
          <w:sz w:val="32"/>
          <w:szCs w:val="32"/>
        </w:rPr>
        <w:t>основании материалов уголовного дела, а на основании результатов проверки исполнения законодательства о противодействии коррупции, проведенной прокуратурой. Ее материалы также направлены в следственный орган для решения вопроса об уголовном преследовании сотрудника банка. Проводится доследственная процессуальная проверка.</w:t>
      </w:r>
    </w:p>
    <w:p w:rsidR="00F326DE" w:rsidRPr="00700DAC" w:rsidRDefault="00F326DE" w:rsidP="00C909C2">
      <w:pPr>
        <w:ind w:firstLine="709"/>
        <w:jc w:val="both"/>
        <w:rPr>
          <w:sz w:val="32"/>
          <w:szCs w:val="32"/>
        </w:rPr>
      </w:pPr>
      <w:r>
        <w:rPr>
          <w:sz w:val="32"/>
          <w:szCs w:val="32"/>
        </w:rPr>
        <w:t>Важно отметить, что</w:t>
      </w:r>
      <w:r w:rsidRPr="00417AAA">
        <w:rPr>
          <w:sz w:val="32"/>
          <w:szCs w:val="32"/>
        </w:rPr>
        <w:t xml:space="preserve"> последствия для юридического лица заключаются не только в ответственности имущественного характера. Привлеченным к административной</w:t>
      </w:r>
      <w:r>
        <w:rPr>
          <w:sz w:val="32"/>
          <w:szCs w:val="32"/>
        </w:rPr>
        <w:t xml:space="preserve"> ответственности по данной статье организациям в течение двух лет запрещено участвовать в государственных закупках.</w:t>
      </w:r>
    </w:p>
    <w:p w:rsidR="00F326DE" w:rsidRDefault="00F326DE" w:rsidP="00C909C2">
      <w:pPr>
        <w:shd w:val="clear" w:color="auto" w:fill="FFFFFF"/>
        <w:ind w:firstLine="709"/>
        <w:jc w:val="both"/>
        <w:rPr>
          <w:sz w:val="32"/>
          <w:szCs w:val="32"/>
        </w:rPr>
      </w:pPr>
      <w:r w:rsidRPr="00385781">
        <w:rPr>
          <w:sz w:val="32"/>
          <w:szCs w:val="32"/>
        </w:rPr>
        <w:t xml:space="preserve">В целях обеспечения проверки участников закупок названному требованию Генеральной прокуратурой Российской Федерации ведется реестр юридических лиц, привлеченных к административной ответственности по статье 19.28 КоАП РФ, который размещен </w:t>
      </w:r>
      <w:r>
        <w:rPr>
          <w:sz w:val="32"/>
          <w:szCs w:val="32"/>
        </w:rPr>
        <w:t xml:space="preserve">                       </w:t>
      </w:r>
      <w:r w:rsidRPr="00385781">
        <w:rPr>
          <w:sz w:val="32"/>
          <w:szCs w:val="32"/>
        </w:rPr>
        <w:t>в публичном доступе в сети «Интернет».</w:t>
      </w:r>
    </w:p>
    <w:p w:rsidR="00F326DE" w:rsidRPr="002F6AD9" w:rsidRDefault="00F326DE" w:rsidP="00C909C2">
      <w:pPr>
        <w:ind w:firstLine="709"/>
        <w:jc w:val="center"/>
        <w:rPr>
          <w:b/>
          <w:sz w:val="32"/>
          <w:szCs w:val="32"/>
          <w:lang w:eastAsia="en-US"/>
        </w:rPr>
      </w:pPr>
      <w:r>
        <w:rPr>
          <w:b/>
          <w:sz w:val="32"/>
          <w:szCs w:val="32"/>
          <w:lang w:eastAsia="en-US"/>
        </w:rPr>
        <w:t>***</w:t>
      </w:r>
    </w:p>
    <w:p w:rsidR="00F326DE" w:rsidRPr="00C80B50" w:rsidRDefault="00F326DE" w:rsidP="00C909C2">
      <w:pPr>
        <w:ind w:firstLine="709"/>
        <w:jc w:val="both"/>
        <w:rPr>
          <w:sz w:val="32"/>
          <w:szCs w:val="32"/>
        </w:rPr>
      </w:pPr>
      <w:r w:rsidRPr="00C80B50">
        <w:rPr>
          <w:sz w:val="32"/>
          <w:szCs w:val="32"/>
        </w:rPr>
        <w:t xml:space="preserve">Генеральной прокуратурой Российской Федерации принимаются меры к </w:t>
      </w:r>
      <w:r w:rsidRPr="00C80B50">
        <w:rPr>
          <w:b/>
          <w:sz w:val="32"/>
          <w:szCs w:val="32"/>
        </w:rPr>
        <w:t>совершенствованию антикоррупционного законодательства,</w:t>
      </w:r>
      <w:r w:rsidRPr="00C80B50">
        <w:rPr>
          <w:sz w:val="32"/>
          <w:szCs w:val="32"/>
        </w:rPr>
        <w:t xml:space="preserve"> направленные на обеспечение мер государственной защиты юридических лиц, оказывающих содействие правоохранительным органам в выявлении, пресечении и расследовании уголовных дел                            о преступлениях коррупционной направленности. </w:t>
      </w:r>
    </w:p>
    <w:p w:rsidR="00F326DE" w:rsidRPr="00096C3B" w:rsidRDefault="00F326DE" w:rsidP="00C909C2">
      <w:pPr>
        <w:ind w:firstLine="709"/>
        <w:jc w:val="both"/>
        <w:rPr>
          <w:bCs/>
          <w:sz w:val="32"/>
          <w:szCs w:val="32"/>
        </w:rPr>
      </w:pPr>
      <w:r w:rsidRPr="00C80B50">
        <w:rPr>
          <w:bCs/>
          <w:sz w:val="32"/>
          <w:szCs w:val="32"/>
        </w:rPr>
        <w:t>Так</w:t>
      </w:r>
      <w:r>
        <w:rPr>
          <w:bCs/>
          <w:sz w:val="32"/>
          <w:szCs w:val="32"/>
        </w:rPr>
        <w:t>,</w:t>
      </w:r>
      <w:r w:rsidRPr="00C80B50">
        <w:rPr>
          <w:bCs/>
          <w:sz w:val="32"/>
          <w:szCs w:val="32"/>
        </w:rPr>
        <w:t xml:space="preserve"> по инициативе Генеральной прокуратуры в августе 2018 года принят Федеральный закон </w:t>
      </w:r>
      <w:r w:rsidRPr="00203C33">
        <w:rPr>
          <w:bCs/>
          <w:i/>
          <w:sz w:val="32"/>
          <w:szCs w:val="32"/>
        </w:rPr>
        <w:t>(№ 298-ФЗ от 03.08.2018 «О внесении изменений в Кодекс Российской Федерации об административных правонарушениях»)</w:t>
      </w:r>
      <w:r w:rsidRPr="00C80B50">
        <w:rPr>
          <w:bCs/>
          <w:sz w:val="32"/>
          <w:szCs w:val="32"/>
        </w:rPr>
        <w:t>, предусматривающий освобождение юридического лица от административной ответственности за правонарушение, предусмотренное статьей 19.28 КоАП РФ, если юридическое лицо активно способствовало раскрытию правонарушения, либо имело место вымогательство со стороны должностного лица, при условии, что незаконные выгоды (преимущества), полученные юридическим лицом, обращены в доход государства.</w:t>
      </w:r>
    </w:p>
    <w:p w:rsidR="00F326DE" w:rsidRDefault="00F326DE" w:rsidP="00C909C2">
      <w:pPr>
        <w:ind w:firstLine="709"/>
        <w:jc w:val="both"/>
        <w:rPr>
          <w:sz w:val="32"/>
          <w:szCs w:val="32"/>
        </w:rPr>
      </w:pPr>
      <w:r w:rsidRPr="00FF0190">
        <w:rPr>
          <w:sz w:val="32"/>
          <w:szCs w:val="32"/>
        </w:rPr>
        <w:t xml:space="preserve">Анализ применения указанной меры ответственности для юридических лиц </w:t>
      </w:r>
      <w:r>
        <w:rPr>
          <w:sz w:val="32"/>
          <w:szCs w:val="32"/>
        </w:rPr>
        <w:t xml:space="preserve">также </w:t>
      </w:r>
      <w:r w:rsidRPr="00FF0190">
        <w:rPr>
          <w:sz w:val="32"/>
          <w:szCs w:val="32"/>
        </w:rPr>
        <w:t>породил необходимость внедрения обеспечительных мер в виде наложения ареста на имущество организации или запрета на совершение регистрационных действий, касающихся этого имущества, в целях исполнения решения суда о назначении административного наказания.</w:t>
      </w:r>
    </w:p>
    <w:p w:rsidR="00F326DE" w:rsidRPr="002F6AD9" w:rsidRDefault="00F326DE" w:rsidP="00C909C2">
      <w:pPr>
        <w:ind w:firstLine="709"/>
        <w:jc w:val="center"/>
        <w:rPr>
          <w:b/>
          <w:sz w:val="32"/>
          <w:szCs w:val="32"/>
          <w:lang w:eastAsia="en-US"/>
        </w:rPr>
      </w:pPr>
      <w:r>
        <w:rPr>
          <w:b/>
          <w:sz w:val="32"/>
          <w:szCs w:val="32"/>
          <w:lang w:eastAsia="en-US"/>
        </w:rPr>
        <w:t>***</w:t>
      </w:r>
    </w:p>
    <w:p w:rsidR="00F326DE" w:rsidRPr="00C80B50" w:rsidRDefault="00F326DE" w:rsidP="00C909C2">
      <w:pPr>
        <w:ind w:firstLine="709"/>
        <w:jc w:val="both"/>
        <w:rPr>
          <w:sz w:val="32"/>
          <w:szCs w:val="32"/>
        </w:rPr>
      </w:pPr>
      <w:r>
        <w:rPr>
          <w:bCs/>
          <w:sz w:val="32"/>
          <w:szCs w:val="32"/>
        </w:rPr>
        <w:t xml:space="preserve">В рамках деятельности по </w:t>
      </w:r>
      <w:r>
        <w:rPr>
          <w:b/>
          <w:bCs/>
          <w:sz w:val="32"/>
          <w:szCs w:val="32"/>
        </w:rPr>
        <w:t>профилактике коррупции</w:t>
      </w:r>
      <w:r w:rsidRPr="00C80B50">
        <w:rPr>
          <w:b/>
          <w:bCs/>
          <w:sz w:val="32"/>
          <w:szCs w:val="32"/>
        </w:rPr>
        <w:t xml:space="preserve"> </w:t>
      </w:r>
      <w:r>
        <w:rPr>
          <w:sz w:val="32"/>
          <w:szCs w:val="32"/>
        </w:rPr>
        <w:t>в</w:t>
      </w:r>
      <w:r w:rsidRPr="00C80B50">
        <w:rPr>
          <w:sz w:val="32"/>
          <w:szCs w:val="32"/>
        </w:rPr>
        <w:t xml:space="preserve"> прошлом году Генеральной прокуратурой при участии бизнес-сообщества и научных кругов </w:t>
      </w:r>
      <w:r w:rsidRPr="00285E1A">
        <w:rPr>
          <w:sz w:val="32"/>
          <w:szCs w:val="32"/>
        </w:rPr>
        <w:t>издана памятка для предпринимателей</w:t>
      </w:r>
      <w:r w:rsidRPr="00C80B50">
        <w:rPr>
          <w:sz w:val="32"/>
          <w:szCs w:val="32"/>
        </w:rPr>
        <w:t xml:space="preserve">, которая разъясняет основные антикоррупционные права и обязанности хозяйствующих субъектов в сфере противодействия коррупции, порядок законной реализации антикоррупционных требований, содержит сведения об ответственности за их нарушение. </w:t>
      </w:r>
    </w:p>
    <w:p w:rsidR="00F326DE" w:rsidRDefault="00F326DE" w:rsidP="00C909C2">
      <w:pPr>
        <w:ind w:firstLine="709"/>
        <w:jc w:val="both"/>
        <w:rPr>
          <w:sz w:val="32"/>
          <w:szCs w:val="32"/>
        </w:rPr>
      </w:pPr>
      <w:r w:rsidRPr="00C80B50">
        <w:rPr>
          <w:sz w:val="32"/>
          <w:szCs w:val="32"/>
        </w:rPr>
        <w:t>Электронная версия памятки размещена на сайте Генеральной прокуратуры.</w:t>
      </w:r>
      <w:r>
        <w:rPr>
          <w:sz w:val="32"/>
          <w:szCs w:val="32"/>
        </w:rPr>
        <w:t xml:space="preserve"> </w:t>
      </w:r>
    </w:p>
    <w:p w:rsidR="00F326DE" w:rsidRPr="00765D7F" w:rsidRDefault="00F326DE" w:rsidP="00C909C2">
      <w:pPr>
        <w:jc w:val="center"/>
        <w:rPr>
          <w:sz w:val="36"/>
          <w:szCs w:val="36"/>
        </w:rPr>
      </w:pPr>
    </w:p>
    <w:sectPr w:rsidR="00F326DE" w:rsidRPr="00765D7F" w:rsidSect="00C909C2">
      <w:headerReference w:type="default" r:id="rId7"/>
      <w:pgSz w:w="11906" w:h="16838"/>
      <w:pgMar w:top="1134" w:right="851"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6DE" w:rsidRDefault="00F326DE" w:rsidP="00AB683D">
      <w:r>
        <w:separator/>
      </w:r>
    </w:p>
  </w:endnote>
  <w:endnote w:type="continuationSeparator" w:id="0">
    <w:p w:rsidR="00F326DE" w:rsidRDefault="00F326DE" w:rsidP="00AB68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6DE" w:rsidRDefault="00F326DE" w:rsidP="00AB683D">
      <w:r>
        <w:separator/>
      </w:r>
    </w:p>
  </w:footnote>
  <w:footnote w:type="continuationSeparator" w:id="0">
    <w:p w:rsidR="00F326DE" w:rsidRDefault="00F326DE" w:rsidP="00AB68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6DE" w:rsidRDefault="00F326DE">
    <w:pPr>
      <w:pStyle w:val="Header"/>
      <w:jc w:val="center"/>
    </w:pPr>
    <w:fldSimple w:instr="PAGE   \* MERGEFORMAT">
      <w:r>
        <w:rPr>
          <w:noProof/>
        </w:rPr>
        <w:t>2</w:t>
      </w:r>
    </w:fldSimple>
  </w:p>
  <w:p w:rsidR="00F326DE" w:rsidRDefault="00F326D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BA63C0"/>
    <w:multiLevelType w:val="hybridMultilevel"/>
    <w:tmpl w:val="20D4C412"/>
    <w:lvl w:ilvl="0" w:tplc="706AFD38">
      <w:start w:val="1"/>
      <w:numFmt w:val="decimal"/>
      <w:lvlText w:val="%1."/>
      <w:lvlJc w:val="left"/>
      <w:pPr>
        <w:ind w:left="1069" w:hanging="360"/>
      </w:pPr>
      <w:rPr>
        <w:rFonts w:cs="Times New Roman" w:hint="default"/>
        <w:sz w:val="36"/>
        <w:szCs w:val="36"/>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48920FF"/>
    <w:multiLevelType w:val="hybridMultilevel"/>
    <w:tmpl w:val="C840DDFC"/>
    <w:lvl w:ilvl="0" w:tplc="A5227332">
      <w:start w:val="3"/>
      <w:numFmt w:val="decimal"/>
      <w:lvlText w:val="%1."/>
      <w:lvlJc w:val="left"/>
      <w:pPr>
        <w:ind w:left="2194" w:hanging="360"/>
      </w:pPr>
      <w:rPr>
        <w:rFonts w:cs="Times New Roman"/>
      </w:rPr>
    </w:lvl>
    <w:lvl w:ilvl="1" w:tplc="04190019">
      <w:start w:val="1"/>
      <w:numFmt w:val="lowerLetter"/>
      <w:lvlText w:val="%2."/>
      <w:lvlJc w:val="left"/>
      <w:pPr>
        <w:ind w:left="2914" w:hanging="360"/>
      </w:pPr>
      <w:rPr>
        <w:rFonts w:cs="Times New Roman"/>
      </w:rPr>
    </w:lvl>
    <w:lvl w:ilvl="2" w:tplc="0419001B">
      <w:start w:val="1"/>
      <w:numFmt w:val="lowerRoman"/>
      <w:lvlText w:val="%3."/>
      <w:lvlJc w:val="right"/>
      <w:pPr>
        <w:ind w:left="3634" w:hanging="180"/>
      </w:pPr>
      <w:rPr>
        <w:rFonts w:cs="Times New Roman"/>
      </w:rPr>
    </w:lvl>
    <w:lvl w:ilvl="3" w:tplc="0419000F">
      <w:start w:val="1"/>
      <w:numFmt w:val="decimal"/>
      <w:lvlText w:val="%4."/>
      <w:lvlJc w:val="left"/>
      <w:pPr>
        <w:ind w:left="4354" w:hanging="360"/>
      </w:pPr>
      <w:rPr>
        <w:rFonts w:cs="Times New Roman"/>
      </w:rPr>
    </w:lvl>
    <w:lvl w:ilvl="4" w:tplc="04190019">
      <w:start w:val="1"/>
      <w:numFmt w:val="lowerLetter"/>
      <w:lvlText w:val="%5."/>
      <w:lvlJc w:val="left"/>
      <w:pPr>
        <w:ind w:left="5074" w:hanging="360"/>
      </w:pPr>
      <w:rPr>
        <w:rFonts w:cs="Times New Roman"/>
      </w:rPr>
    </w:lvl>
    <w:lvl w:ilvl="5" w:tplc="0419001B">
      <w:start w:val="1"/>
      <w:numFmt w:val="lowerRoman"/>
      <w:lvlText w:val="%6."/>
      <w:lvlJc w:val="right"/>
      <w:pPr>
        <w:ind w:left="5794" w:hanging="180"/>
      </w:pPr>
      <w:rPr>
        <w:rFonts w:cs="Times New Roman"/>
      </w:rPr>
    </w:lvl>
    <w:lvl w:ilvl="6" w:tplc="0419000F">
      <w:start w:val="1"/>
      <w:numFmt w:val="decimal"/>
      <w:lvlText w:val="%7."/>
      <w:lvlJc w:val="left"/>
      <w:pPr>
        <w:ind w:left="6514" w:hanging="360"/>
      </w:pPr>
      <w:rPr>
        <w:rFonts w:cs="Times New Roman"/>
      </w:rPr>
    </w:lvl>
    <w:lvl w:ilvl="7" w:tplc="04190019">
      <w:start w:val="1"/>
      <w:numFmt w:val="lowerLetter"/>
      <w:lvlText w:val="%8."/>
      <w:lvlJc w:val="left"/>
      <w:pPr>
        <w:ind w:left="7234" w:hanging="360"/>
      </w:pPr>
      <w:rPr>
        <w:rFonts w:cs="Times New Roman"/>
      </w:rPr>
    </w:lvl>
    <w:lvl w:ilvl="8" w:tplc="0419001B">
      <w:start w:val="1"/>
      <w:numFmt w:val="lowerRoman"/>
      <w:lvlText w:val="%9."/>
      <w:lvlJc w:val="right"/>
      <w:pPr>
        <w:ind w:left="7954" w:hanging="180"/>
      </w:pPr>
      <w:rPr>
        <w:rFonts w:cs="Times New Roman"/>
      </w:rPr>
    </w:lvl>
  </w:abstractNum>
  <w:abstractNum w:abstractNumId="2">
    <w:nsid w:val="6E6C759E"/>
    <w:multiLevelType w:val="hybridMultilevel"/>
    <w:tmpl w:val="ADF4F68C"/>
    <w:lvl w:ilvl="0" w:tplc="3B7C687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0"/>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356"/>
    <w:rsid w:val="00020622"/>
    <w:rsid w:val="000510C6"/>
    <w:rsid w:val="0009115B"/>
    <w:rsid w:val="00096C3B"/>
    <w:rsid w:val="000D1583"/>
    <w:rsid w:val="000E544E"/>
    <w:rsid w:val="0010545D"/>
    <w:rsid w:val="00145C36"/>
    <w:rsid w:val="00147492"/>
    <w:rsid w:val="00153AE0"/>
    <w:rsid w:val="00153F95"/>
    <w:rsid w:val="00156AF7"/>
    <w:rsid w:val="001A1CDD"/>
    <w:rsid w:val="001A4E91"/>
    <w:rsid w:val="001F02DD"/>
    <w:rsid w:val="001F16CD"/>
    <w:rsid w:val="00203C33"/>
    <w:rsid w:val="00210F66"/>
    <w:rsid w:val="00220F03"/>
    <w:rsid w:val="00234BB0"/>
    <w:rsid w:val="002640DB"/>
    <w:rsid w:val="002702C5"/>
    <w:rsid w:val="00285E1A"/>
    <w:rsid w:val="00292C44"/>
    <w:rsid w:val="002A2148"/>
    <w:rsid w:val="002D59F5"/>
    <w:rsid w:val="002E00B8"/>
    <w:rsid w:val="002F6AD9"/>
    <w:rsid w:val="003006F1"/>
    <w:rsid w:val="00303128"/>
    <w:rsid w:val="003650D1"/>
    <w:rsid w:val="00385781"/>
    <w:rsid w:val="003B4B06"/>
    <w:rsid w:val="003C6390"/>
    <w:rsid w:val="003C74FF"/>
    <w:rsid w:val="003D1DF3"/>
    <w:rsid w:val="003E1BE8"/>
    <w:rsid w:val="003E5632"/>
    <w:rsid w:val="00405EFB"/>
    <w:rsid w:val="00417AAA"/>
    <w:rsid w:val="00426BB0"/>
    <w:rsid w:val="00427A74"/>
    <w:rsid w:val="00436539"/>
    <w:rsid w:val="00437B67"/>
    <w:rsid w:val="00456F7E"/>
    <w:rsid w:val="0051391B"/>
    <w:rsid w:val="00513BAB"/>
    <w:rsid w:val="00531DFB"/>
    <w:rsid w:val="00566834"/>
    <w:rsid w:val="005A0152"/>
    <w:rsid w:val="005B6DDD"/>
    <w:rsid w:val="005D551F"/>
    <w:rsid w:val="005F6CE2"/>
    <w:rsid w:val="00625C00"/>
    <w:rsid w:val="006320C1"/>
    <w:rsid w:val="00635589"/>
    <w:rsid w:val="00653533"/>
    <w:rsid w:val="006847E3"/>
    <w:rsid w:val="006A14C0"/>
    <w:rsid w:val="006D713B"/>
    <w:rsid w:val="006F6FE8"/>
    <w:rsid w:val="00700DAC"/>
    <w:rsid w:val="00765D7F"/>
    <w:rsid w:val="007815AC"/>
    <w:rsid w:val="007C126F"/>
    <w:rsid w:val="007E0F4F"/>
    <w:rsid w:val="007E1AAD"/>
    <w:rsid w:val="00823C98"/>
    <w:rsid w:val="008515A7"/>
    <w:rsid w:val="0087485B"/>
    <w:rsid w:val="008C2B75"/>
    <w:rsid w:val="008C71C2"/>
    <w:rsid w:val="008D6B20"/>
    <w:rsid w:val="008E0198"/>
    <w:rsid w:val="00905A22"/>
    <w:rsid w:val="00913A26"/>
    <w:rsid w:val="00914C5F"/>
    <w:rsid w:val="00926360"/>
    <w:rsid w:val="009265E6"/>
    <w:rsid w:val="00933B61"/>
    <w:rsid w:val="0094015C"/>
    <w:rsid w:val="009706C4"/>
    <w:rsid w:val="009F2D98"/>
    <w:rsid w:val="00A2778F"/>
    <w:rsid w:val="00A30E9D"/>
    <w:rsid w:val="00A32862"/>
    <w:rsid w:val="00A43926"/>
    <w:rsid w:val="00AA300E"/>
    <w:rsid w:val="00AA666C"/>
    <w:rsid w:val="00AB3790"/>
    <w:rsid w:val="00AB683D"/>
    <w:rsid w:val="00AB7B08"/>
    <w:rsid w:val="00AD6B43"/>
    <w:rsid w:val="00B22075"/>
    <w:rsid w:val="00B9319F"/>
    <w:rsid w:val="00BC1B99"/>
    <w:rsid w:val="00BC3C23"/>
    <w:rsid w:val="00C360B7"/>
    <w:rsid w:val="00C57C5A"/>
    <w:rsid w:val="00C80824"/>
    <w:rsid w:val="00C80B50"/>
    <w:rsid w:val="00C909C2"/>
    <w:rsid w:val="00C938D5"/>
    <w:rsid w:val="00CE65CB"/>
    <w:rsid w:val="00D00DA5"/>
    <w:rsid w:val="00D04FAB"/>
    <w:rsid w:val="00D411A0"/>
    <w:rsid w:val="00D54D89"/>
    <w:rsid w:val="00D6231F"/>
    <w:rsid w:val="00D70AC2"/>
    <w:rsid w:val="00D73A4C"/>
    <w:rsid w:val="00D91356"/>
    <w:rsid w:val="00DC3653"/>
    <w:rsid w:val="00E27671"/>
    <w:rsid w:val="00E41A37"/>
    <w:rsid w:val="00E804C1"/>
    <w:rsid w:val="00E9502C"/>
    <w:rsid w:val="00ED12B0"/>
    <w:rsid w:val="00EF63D2"/>
    <w:rsid w:val="00F122C4"/>
    <w:rsid w:val="00F319B8"/>
    <w:rsid w:val="00F326DE"/>
    <w:rsid w:val="00F327AE"/>
    <w:rsid w:val="00F33F42"/>
    <w:rsid w:val="00FA14B9"/>
    <w:rsid w:val="00FE405B"/>
    <w:rsid w:val="00FF019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35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uiPriority w:val="99"/>
    <w:rsid w:val="00D91356"/>
    <w:pPr>
      <w:spacing w:after="160" w:line="240" w:lineRule="exact"/>
    </w:pPr>
    <w:rPr>
      <w:rFonts w:ascii="Verdana" w:hAnsi="Verdana"/>
      <w:sz w:val="20"/>
      <w:szCs w:val="20"/>
      <w:lang w:val="en-US" w:eastAsia="en-US"/>
    </w:rPr>
  </w:style>
  <w:style w:type="paragraph" w:styleId="ListParagraph">
    <w:name w:val="List Paragraph"/>
    <w:basedOn w:val="Normal"/>
    <w:uiPriority w:val="99"/>
    <w:qFormat/>
    <w:rsid w:val="005D551F"/>
    <w:pPr>
      <w:ind w:left="720"/>
      <w:contextualSpacing/>
    </w:pPr>
  </w:style>
  <w:style w:type="paragraph" w:customStyle="1" w:styleId="1">
    <w:name w:val="Знак Знак1"/>
    <w:basedOn w:val="Normal"/>
    <w:uiPriority w:val="99"/>
    <w:rsid w:val="002A2148"/>
    <w:pPr>
      <w:spacing w:after="160" w:line="240" w:lineRule="exact"/>
    </w:pPr>
    <w:rPr>
      <w:rFonts w:ascii="Verdana" w:hAnsi="Verdana"/>
      <w:sz w:val="20"/>
      <w:szCs w:val="20"/>
      <w:lang w:val="en-US" w:eastAsia="en-US"/>
    </w:rPr>
  </w:style>
  <w:style w:type="paragraph" w:styleId="Header">
    <w:name w:val="header"/>
    <w:basedOn w:val="Normal"/>
    <w:link w:val="HeaderChar"/>
    <w:uiPriority w:val="99"/>
    <w:rsid w:val="00AB683D"/>
    <w:pPr>
      <w:tabs>
        <w:tab w:val="center" w:pos="4677"/>
        <w:tab w:val="right" w:pos="9355"/>
      </w:tabs>
    </w:pPr>
  </w:style>
  <w:style w:type="character" w:customStyle="1" w:styleId="HeaderChar">
    <w:name w:val="Header Char"/>
    <w:basedOn w:val="DefaultParagraphFont"/>
    <w:link w:val="Header"/>
    <w:uiPriority w:val="99"/>
    <w:locked/>
    <w:rsid w:val="00AB683D"/>
    <w:rPr>
      <w:rFonts w:ascii="Times New Roman" w:hAnsi="Times New Roman" w:cs="Times New Roman"/>
      <w:sz w:val="24"/>
      <w:szCs w:val="24"/>
      <w:lang w:eastAsia="ru-RU"/>
    </w:rPr>
  </w:style>
  <w:style w:type="paragraph" w:styleId="Footer">
    <w:name w:val="footer"/>
    <w:basedOn w:val="Normal"/>
    <w:link w:val="FooterChar"/>
    <w:uiPriority w:val="99"/>
    <w:rsid w:val="00AB683D"/>
    <w:pPr>
      <w:tabs>
        <w:tab w:val="center" w:pos="4677"/>
        <w:tab w:val="right" w:pos="9355"/>
      </w:tabs>
    </w:pPr>
  </w:style>
  <w:style w:type="character" w:customStyle="1" w:styleId="FooterChar">
    <w:name w:val="Footer Char"/>
    <w:basedOn w:val="DefaultParagraphFont"/>
    <w:link w:val="Footer"/>
    <w:uiPriority w:val="99"/>
    <w:locked/>
    <w:rsid w:val="00AB683D"/>
    <w:rPr>
      <w:rFonts w:ascii="Times New Roman" w:hAnsi="Times New Roman" w:cs="Times New Roman"/>
      <w:sz w:val="24"/>
      <w:szCs w:val="24"/>
      <w:lang w:eastAsia="ru-RU"/>
    </w:rPr>
  </w:style>
  <w:style w:type="paragraph" w:styleId="BalloonText">
    <w:name w:val="Balloon Text"/>
    <w:basedOn w:val="Normal"/>
    <w:link w:val="BalloonTextChar"/>
    <w:uiPriority w:val="99"/>
    <w:semiHidden/>
    <w:rsid w:val="00AB683D"/>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AB683D"/>
    <w:rPr>
      <w:rFonts w:ascii="Segoe UI" w:hAnsi="Segoe UI" w:cs="Segoe UI"/>
      <w:sz w:val="18"/>
      <w:szCs w:val="18"/>
      <w:lang w:eastAsia="ru-RU"/>
    </w:rPr>
  </w:style>
  <w:style w:type="paragraph" w:customStyle="1" w:styleId="ConsPlusNormal">
    <w:name w:val="ConsPlusNormal"/>
    <w:link w:val="ConsPlusNormal0"/>
    <w:uiPriority w:val="99"/>
    <w:rsid w:val="00CE65CB"/>
    <w:pPr>
      <w:widowControl w:val="0"/>
      <w:autoSpaceDE w:val="0"/>
      <w:autoSpaceDN w:val="0"/>
      <w:adjustRightInd w:val="0"/>
    </w:pPr>
    <w:rPr>
      <w:rFonts w:ascii="Arial" w:eastAsia="Times New Roman" w:hAnsi="Arial" w:cs="Arial"/>
    </w:rPr>
  </w:style>
  <w:style w:type="character" w:customStyle="1" w:styleId="ConsPlusNormal0">
    <w:name w:val="ConsPlusNormal Знак"/>
    <w:link w:val="ConsPlusNormal"/>
    <w:uiPriority w:val="99"/>
    <w:locked/>
    <w:rsid w:val="00CE65CB"/>
    <w:rPr>
      <w:rFonts w:ascii="Arial" w:hAnsi="Arial"/>
      <w:sz w:val="22"/>
      <w:lang w:eastAsia="ru-RU"/>
    </w:rPr>
  </w:style>
  <w:style w:type="paragraph" w:customStyle="1" w:styleId="CarChar1CarCharCarCharCarCharCarCharCarCharCarCharCarCharCarCharCarCharCarChar">
    <w:name w:val="Car Char1 Car Char Car Char Car Char Car Char Car Char Car Char Car Char Car Char Car Char Car Char"/>
    <w:basedOn w:val="Normal"/>
    <w:uiPriority w:val="99"/>
    <w:rsid w:val="00CE65CB"/>
    <w:pPr>
      <w:spacing w:after="160" w:line="240" w:lineRule="exact"/>
    </w:pPr>
    <w:rPr>
      <w:rFonts w:ascii="Arial" w:hAnsi="Arial" w:cs="Arial"/>
      <w:sz w:val="20"/>
      <w:szCs w:val="20"/>
      <w:lang w:val="en-US" w:eastAsia="en-US"/>
    </w:rPr>
  </w:style>
  <w:style w:type="paragraph" w:customStyle="1" w:styleId="CarChar1CarCharCarCharCarCharCarCharCarCharCarCharCarCharCarCharCarCharCarChar1">
    <w:name w:val="Car Char1 Car Char Car Char Car Char Car Char Car Char Car Char Car Char Car Char Car Char Car Char1"/>
    <w:basedOn w:val="Normal"/>
    <w:uiPriority w:val="99"/>
    <w:rsid w:val="006847E3"/>
    <w:pPr>
      <w:spacing w:after="160" w:line="240" w:lineRule="exact"/>
    </w:pPr>
    <w:rPr>
      <w:rFonts w:ascii="Arial"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780534803">
      <w:marLeft w:val="0"/>
      <w:marRight w:val="0"/>
      <w:marTop w:val="0"/>
      <w:marBottom w:val="0"/>
      <w:divBdr>
        <w:top w:val="none" w:sz="0" w:space="0" w:color="auto"/>
        <w:left w:val="none" w:sz="0" w:space="0" w:color="auto"/>
        <w:bottom w:val="none" w:sz="0" w:space="0" w:color="auto"/>
        <w:right w:val="none" w:sz="0" w:space="0" w:color="auto"/>
      </w:divBdr>
    </w:div>
    <w:div w:id="7805348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1845</Words>
  <Characters>10520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Давыдова Екатерина В.</dc:creator>
  <cp:keywords/>
  <dc:description/>
  <cp:lastModifiedBy>777</cp:lastModifiedBy>
  <cp:revision>3</cp:revision>
  <cp:lastPrinted>2019-04-25T12:36:00Z</cp:lastPrinted>
  <dcterms:created xsi:type="dcterms:W3CDTF">2019-08-01T11:01:00Z</dcterms:created>
  <dcterms:modified xsi:type="dcterms:W3CDTF">2019-08-01T15:38:00Z</dcterms:modified>
</cp:coreProperties>
</file>